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6B1E" w:rsidRDefault="0047715A">
      <w:pPr>
        <w:rPr>
          <w:rFonts w:ascii="Candara" w:eastAsia="Candara" w:hAnsi="Candara" w:cs="Candara"/>
          <w:color w:val="000000"/>
          <w:sz w:val="21"/>
          <w:szCs w:val="21"/>
        </w:rPr>
      </w:pPr>
      <w:r>
        <w:rPr>
          <w:rFonts w:ascii="Candara" w:eastAsia="Candara" w:hAnsi="Candara" w:cs="Candara"/>
          <w:color w:val="000000"/>
          <w:sz w:val="21"/>
          <w:szCs w:val="21"/>
        </w:rPr>
        <w:t>FOR IMMEDIATE RELEASE</w:t>
      </w:r>
    </w:p>
    <w:p w14:paraId="00000002" w14:textId="77777777" w:rsidR="006D6B1E" w:rsidRDefault="0047715A">
      <w:pPr>
        <w:rPr>
          <w:rFonts w:ascii="Candara" w:eastAsia="Candara" w:hAnsi="Candara" w:cs="Candara"/>
          <w:color w:val="000000"/>
          <w:sz w:val="21"/>
          <w:szCs w:val="21"/>
        </w:rPr>
      </w:pPr>
      <w:r>
        <w:rPr>
          <w:rFonts w:ascii="Candara" w:eastAsia="Candara" w:hAnsi="Candara" w:cs="Candara"/>
          <w:sz w:val="21"/>
          <w:szCs w:val="21"/>
        </w:rPr>
        <w:t>30</w:t>
      </w:r>
      <w:r>
        <w:rPr>
          <w:rFonts w:ascii="Candara" w:eastAsia="Candara" w:hAnsi="Candara" w:cs="Candara"/>
          <w:color w:val="000000"/>
          <w:sz w:val="21"/>
          <w:szCs w:val="21"/>
        </w:rPr>
        <w:t xml:space="preserve"> May 2022</w:t>
      </w:r>
    </w:p>
    <w:p w14:paraId="00000003" w14:textId="77777777" w:rsidR="006D6B1E" w:rsidRDefault="006D6B1E">
      <w:pPr>
        <w:rPr>
          <w:rFonts w:ascii="Candara" w:eastAsia="Candara" w:hAnsi="Candara" w:cs="Candara"/>
          <w:color w:val="000000"/>
          <w:sz w:val="21"/>
          <w:szCs w:val="21"/>
        </w:rPr>
      </w:pPr>
    </w:p>
    <w:p w14:paraId="00000004" w14:textId="77777777" w:rsidR="006D6B1E" w:rsidRDefault="0047715A">
      <w:pPr>
        <w:rPr>
          <w:rFonts w:ascii="Candara" w:eastAsia="Candara" w:hAnsi="Candara" w:cs="Candara"/>
          <w:color w:val="000000"/>
          <w:sz w:val="40"/>
          <w:szCs w:val="40"/>
        </w:rPr>
      </w:pPr>
      <w:r>
        <w:rPr>
          <w:rFonts w:ascii="Candara" w:eastAsia="Candara" w:hAnsi="Candara" w:cs="Candara"/>
          <w:color w:val="000000"/>
          <w:sz w:val="40"/>
          <w:szCs w:val="40"/>
        </w:rPr>
        <w:t>CNCC-II makes international debut as Beijing’s newest international convention center at IMEX 2022, Frankfurt</w:t>
      </w:r>
    </w:p>
    <w:p w14:paraId="00000005" w14:textId="77777777" w:rsidR="006D6B1E" w:rsidRDefault="006D6B1E">
      <w:pPr>
        <w:rPr>
          <w:rFonts w:ascii="Candara" w:eastAsia="Candara" w:hAnsi="Candara" w:cs="Candara"/>
          <w:color w:val="000000"/>
          <w:sz w:val="21"/>
          <w:szCs w:val="21"/>
        </w:rPr>
      </w:pPr>
    </w:p>
    <w:p w14:paraId="00000006" w14:textId="77777777" w:rsidR="006D6B1E" w:rsidRDefault="006D6B1E">
      <w:pPr>
        <w:rPr>
          <w:rFonts w:ascii="Candara" w:eastAsia="Candara" w:hAnsi="Candara" w:cs="Candara"/>
          <w:color w:val="000000"/>
          <w:sz w:val="21"/>
          <w:szCs w:val="21"/>
        </w:rPr>
      </w:pPr>
    </w:p>
    <w:p w14:paraId="00000007" w14:textId="77777777" w:rsidR="006D6B1E" w:rsidRDefault="0047715A">
      <w:pPr>
        <w:spacing w:after="160" w:line="259" w:lineRule="auto"/>
        <w:rPr>
          <w:rFonts w:ascii="Candara" w:eastAsia="Candara" w:hAnsi="Candara" w:cs="Candara"/>
          <w:color w:val="000000"/>
          <w:sz w:val="21"/>
          <w:szCs w:val="21"/>
        </w:rPr>
      </w:pPr>
      <w:r>
        <w:rPr>
          <w:rFonts w:ascii="Candara" w:eastAsia="Candara" w:hAnsi="Candara" w:cs="Candara"/>
          <w:color w:val="000000"/>
          <w:sz w:val="21"/>
          <w:szCs w:val="21"/>
        </w:rPr>
        <w:t>China National Convention Center, Phase 2 (CNCC-II) is located in the Beijing Olympic Green Area, in the north of Beijing. Having successfully served as the Main Media Center (MMC) for the recently concluded Beijing 2022 Winter Olympics. CNCC-II is on track to begin its next phase as China’s premier international convention center. At this stage it is planned to open in 2024.</w:t>
      </w:r>
    </w:p>
    <w:p w14:paraId="00000008" w14:textId="77777777" w:rsidR="006D6B1E" w:rsidRDefault="0047715A">
      <w:pPr>
        <w:pBdr>
          <w:top w:val="nil"/>
          <w:left w:val="nil"/>
          <w:bottom w:val="nil"/>
          <w:right w:val="nil"/>
          <w:between w:val="nil"/>
        </w:pBdr>
        <w:shd w:val="clear" w:color="auto" w:fill="FFFFFF"/>
        <w:spacing w:after="280"/>
        <w:rPr>
          <w:rFonts w:ascii="Candara" w:eastAsia="Candara" w:hAnsi="Candara" w:cs="Candara"/>
          <w:color w:val="000000"/>
          <w:sz w:val="21"/>
          <w:szCs w:val="21"/>
        </w:rPr>
      </w:pPr>
      <w:r>
        <w:rPr>
          <w:rFonts w:ascii="Candara" w:eastAsia="Candara" w:hAnsi="Candara" w:cs="Candara"/>
          <w:color w:val="000000"/>
          <w:sz w:val="21"/>
          <w:szCs w:val="21"/>
        </w:rPr>
        <w:t xml:space="preserve">Designed by French architect Christian de </w:t>
      </w:r>
      <w:proofErr w:type="spellStart"/>
      <w:r>
        <w:rPr>
          <w:rFonts w:ascii="Candara" w:eastAsia="Candara" w:hAnsi="Candara" w:cs="Candara"/>
          <w:color w:val="000000"/>
          <w:sz w:val="21"/>
          <w:szCs w:val="21"/>
        </w:rPr>
        <w:t>Portzamparc</w:t>
      </w:r>
      <w:proofErr w:type="spellEnd"/>
      <w:r>
        <w:rPr>
          <w:rFonts w:ascii="Candara" w:eastAsia="Candara" w:hAnsi="Candara" w:cs="Candara"/>
          <w:color w:val="000000"/>
          <w:sz w:val="21"/>
          <w:szCs w:val="21"/>
        </w:rPr>
        <w:t xml:space="preserve">, the center features 420,000 square meters (sqm) of floor space and 270,000 of meeting and event space. It comprises a 7,300 sqm divisible plenary hall and 30,000 sqm of exhibition floor space. The second floor has over 35000 sqm of function space with meeting rooms in sizes from 100 to 2,000 sqm. On the top floor (level 3), there is over 35,000 sqm of function space comprising three banquet halls and two gardens. There are over 30 VIP lounges spread across the three floors. </w:t>
      </w:r>
    </w:p>
    <w:p w14:paraId="00000009" w14:textId="77777777" w:rsidR="006D6B1E" w:rsidRDefault="0047715A">
      <w:pPr>
        <w:pBdr>
          <w:top w:val="nil"/>
          <w:left w:val="nil"/>
          <w:bottom w:val="nil"/>
          <w:right w:val="nil"/>
          <w:between w:val="nil"/>
        </w:pBdr>
        <w:shd w:val="clear" w:color="auto" w:fill="FFFFFF"/>
        <w:spacing w:after="280"/>
        <w:rPr>
          <w:rFonts w:ascii="Candara" w:eastAsia="Candara" w:hAnsi="Candara" w:cs="Candara"/>
          <w:color w:val="000000"/>
          <w:sz w:val="21"/>
          <w:szCs w:val="21"/>
        </w:rPr>
      </w:pPr>
      <w:r>
        <w:rPr>
          <w:rFonts w:ascii="Candara" w:eastAsia="Candara" w:hAnsi="Candara" w:cs="Candara"/>
          <w:color w:val="000000"/>
          <w:sz w:val="21"/>
          <w:szCs w:val="21"/>
        </w:rPr>
        <w:t xml:space="preserve">CNCC-II is expected to host conferences, forums, banquets, and other commercial events for up to 20,000 </w:t>
      </w:r>
      <w:proofErr w:type="gramStart"/>
      <w:r>
        <w:rPr>
          <w:rFonts w:ascii="Candara" w:eastAsia="Candara" w:hAnsi="Candara" w:cs="Candara"/>
          <w:color w:val="000000"/>
          <w:sz w:val="21"/>
          <w:szCs w:val="21"/>
        </w:rPr>
        <w:t>maximum</w:t>
      </w:r>
      <w:proofErr w:type="gramEnd"/>
      <w:r>
        <w:rPr>
          <w:rFonts w:ascii="Candara" w:eastAsia="Candara" w:hAnsi="Candara" w:cs="Candara"/>
          <w:color w:val="000000"/>
          <w:sz w:val="21"/>
          <w:szCs w:val="21"/>
        </w:rPr>
        <w:t>, as well as exhibition events for more than 50,000 attendees. The center complex comprises an office building, boutique retail outlets, and two hotels.</w:t>
      </w:r>
    </w:p>
    <w:p w14:paraId="0000000A" w14:textId="77777777" w:rsidR="006D6B1E" w:rsidRDefault="0047715A">
      <w:pPr>
        <w:pBdr>
          <w:top w:val="nil"/>
          <w:left w:val="nil"/>
          <w:bottom w:val="nil"/>
          <w:right w:val="nil"/>
          <w:between w:val="nil"/>
        </w:pBdr>
        <w:shd w:val="clear" w:color="auto" w:fill="FFFFFF"/>
        <w:spacing w:after="280"/>
        <w:rPr>
          <w:rFonts w:ascii="Candara" w:eastAsia="Candara" w:hAnsi="Candara" w:cs="Candara"/>
          <w:color w:val="000000"/>
          <w:sz w:val="21"/>
          <w:szCs w:val="21"/>
        </w:rPr>
      </w:pPr>
      <w:r>
        <w:rPr>
          <w:rFonts w:ascii="Candara" w:eastAsia="Candara" w:hAnsi="Candara" w:cs="Candara"/>
          <w:color w:val="000000"/>
          <w:sz w:val="21"/>
          <w:szCs w:val="21"/>
        </w:rPr>
        <w:t xml:space="preserve">Envisioned as “A Masterpiece of the Capital in the New Era”, the transformation from media center for Beijing 2022 Winter Olympics to CNCC-II will deliver a highly flexible venue pushing the boundaries of technology and sustainability. </w:t>
      </w:r>
    </w:p>
    <w:p w14:paraId="0000000B" w14:textId="77777777" w:rsidR="006D6B1E" w:rsidRDefault="0047715A">
      <w:pPr>
        <w:pBdr>
          <w:top w:val="nil"/>
          <w:left w:val="nil"/>
          <w:bottom w:val="nil"/>
          <w:right w:val="nil"/>
          <w:between w:val="nil"/>
        </w:pBdr>
        <w:shd w:val="clear" w:color="auto" w:fill="FFFFFF"/>
        <w:spacing w:after="280"/>
        <w:rPr>
          <w:rFonts w:ascii="Candara" w:eastAsia="Candara" w:hAnsi="Candara" w:cs="Candara"/>
          <w:color w:val="000000"/>
          <w:sz w:val="21"/>
          <w:szCs w:val="21"/>
        </w:rPr>
      </w:pPr>
      <w:r>
        <w:rPr>
          <w:rFonts w:ascii="Candara" w:eastAsia="Candara" w:hAnsi="Candara" w:cs="Candara"/>
          <w:color w:val="000000"/>
          <w:sz w:val="21"/>
          <w:szCs w:val="21"/>
        </w:rPr>
        <w:t xml:space="preserve">The center will have smart venue systems from impressive LED walls to robots that serve meals and undertake cleaning. [According to the International Federation of Robotics, China is the largest robotics market in the world and is growing rapidly.] </w:t>
      </w:r>
    </w:p>
    <w:p w14:paraId="0000000C" w14:textId="189CF36D" w:rsidR="006D6B1E" w:rsidRDefault="0047715A">
      <w:pPr>
        <w:pBdr>
          <w:top w:val="nil"/>
          <w:left w:val="nil"/>
          <w:bottom w:val="nil"/>
          <w:right w:val="nil"/>
          <w:between w:val="nil"/>
        </w:pBdr>
        <w:shd w:val="clear" w:color="auto" w:fill="FFFFFF"/>
        <w:spacing w:after="280"/>
        <w:rPr>
          <w:rFonts w:ascii="Candara" w:eastAsia="Candara" w:hAnsi="Candara" w:cs="Candara"/>
          <w:color w:val="000000"/>
          <w:sz w:val="21"/>
          <w:szCs w:val="21"/>
        </w:rPr>
      </w:pPr>
      <w:r>
        <w:rPr>
          <w:rFonts w:ascii="Candara" w:eastAsia="Candara" w:hAnsi="Candara" w:cs="Candara"/>
          <w:color w:val="000000"/>
          <w:sz w:val="21"/>
          <w:szCs w:val="21"/>
        </w:rPr>
        <w:t xml:space="preserve">The center is being built in accordance with the LEED Platinum and China’s Green Building Evaluation Standard or GBES 3-star, developed by China’s Ministry of Housing and Urban-Rural Development. </w:t>
      </w:r>
    </w:p>
    <w:p w14:paraId="0000000D" w14:textId="77777777" w:rsidR="006D6B1E" w:rsidRDefault="0047715A">
      <w:pPr>
        <w:rPr>
          <w:rFonts w:ascii="Candara" w:eastAsia="Candara" w:hAnsi="Candara" w:cs="Candara"/>
          <w:color w:val="000000"/>
          <w:sz w:val="21"/>
          <w:szCs w:val="21"/>
        </w:rPr>
      </w:pPr>
      <w:r>
        <w:rPr>
          <w:rFonts w:ascii="Candara" w:eastAsia="Candara" w:hAnsi="Candara" w:cs="Candara"/>
          <w:color w:val="000000"/>
          <w:sz w:val="21"/>
          <w:szCs w:val="21"/>
        </w:rPr>
        <w:t xml:space="preserve">In </w:t>
      </w:r>
      <w:proofErr w:type="spellStart"/>
      <w:r>
        <w:rPr>
          <w:rFonts w:ascii="Candara" w:eastAsia="Candara" w:hAnsi="Candara" w:cs="Candara"/>
          <w:color w:val="000000"/>
          <w:sz w:val="21"/>
          <w:szCs w:val="21"/>
        </w:rPr>
        <w:t>GainingEdge’s</w:t>
      </w:r>
      <w:proofErr w:type="spellEnd"/>
      <w:r>
        <w:rPr>
          <w:rFonts w:ascii="Candara" w:eastAsia="Candara" w:hAnsi="Candara" w:cs="Candara"/>
          <w:color w:val="000000"/>
          <w:sz w:val="21"/>
          <w:szCs w:val="21"/>
        </w:rPr>
        <w:t xml:space="preserve"> International Destinations Competitiveness Report 2021, Beijing is ranked as the fourth most competitive city in the world. Paris, New York and Singapore were in the Top 3 positions. On this Index, cities are scored and compared in terms of the strength of their destination products. </w:t>
      </w:r>
    </w:p>
    <w:p w14:paraId="0000000F" w14:textId="10482E97" w:rsidR="006D6B1E" w:rsidRDefault="0047715A">
      <w:pPr>
        <w:pBdr>
          <w:top w:val="nil"/>
          <w:left w:val="nil"/>
          <w:bottom w:val="nil"/>
          <w:right w:val="nil"/>
          <w:between w:val="nil"/>
        </w:pBdr>
        <w:shd w:val="clear" w:color="auto" w:fill="FFFFFF"/>
        <w:rPr>
          <w:rFonts w:ascii="Candara" w:eastAsia="Candara" w:hAnsi="Candara" w:cs="Candara"/>
          <w:color w:val="000000"/>
          <w:sz w:val="21"/>
          <w:szCs w:val="21"/>
        </w:rPr>
      </w:pPr>
      <w:r>
        <w:rPr>
          <w:rFonts w:ascii="Candara" w:eastAsia="Candara" w:hAnsi="Candara" w:cs="Candara"/>
          <w:color w:val="000000"/>
          <w:sz w:val="21"/>
          <w:szCs w:val="21"/>
        </w:rPr>
        <w:t xml:space="preserve">“Beijing, as the capital of China, attracts many high-profile events with global influence. The convention center’s target market includes high-profile intergovernmental meetings, international association meetings, Fortune 500 company meetings, banquets, niche exhibitions and special events,” said Rod </w:t>
      </w:r>
    </w:p>
    <w:p w14:paraId="00000010" w14:textId="77777777" w:rsidR="006D6B1E" w:rsidRDefault="0047715A">
      <w:pPr>
        <w:pBdr>
          <w:top w:val="nil"/>
          <w:left w:val="nil"/>
          <w:bottom w:val="nil"/>
          <w:right w:val="nil"/>
          <w:between w:val="nil"/>
        </w:pBdr>
        <w:shd w:val="clear" w:color="auto" w:fill="FFFFFF"/>
        <w:rPr>
          <w:rFonts w:ascii="Candara" w:eastAsia="Candara" w:hAnsi="Candara" w:cs="Candara"/>
          <w:color w:val="000000"/>
          <w:sz w:val="21"/>
          <w:szCs w:val="21"/>
        </w:rPr>
      </w:pPr>
      <w:r>
        <w:rPr>
          <w:rFonts w:ascii="Candara" w:eastAsia="Candara" w:hAnsi="Candara" w:cs="Candara"/>
          <w:color w:val="000000"/>
          <w:sz w:val="21"/>
          <w:szCs w:val="21"/>
        </w:rPr>
        <w:t>Kamleshwaran, pre-opening international consultant of CNCC-II. “CNCC-II will rejuvenate Beijing conventions and exhibitions infrastructure boosting the city’s competitiveness. In addition, Chinese thought leaders – the majority of them based in Beijing - bring business and help brand Beijing as a knowledge-based society.”</w:t>
      </w:r>
    </w:p>
    <w:p w14:paraId="18B5FFD0" w14:textId="77777777" w:rsidR="002B4587" w:rsidRDefault="002B4587">
      <w:pPr>
        <w:pBdr>
          <w:top w:val="nil"/>
          <w:left w:val="nil"/>
          <w:bottom w:val="nil"/>
          <w:right w:val="nil"/>
          <w:between w:val="nil"/>
        </w:pBdr>
        <w:shd w:val="clear" w:color="auto" w:fill="FFFFFF"/>
        <w:rPr>
          <w:rFonts w:ascii="Candara" w:eastAsia="Candara" w:hAnsi="Candara" w:cs="Candara"/>
          <w:b/>
          <w:color w:val="000000"/>
          <w:sz w:val="21"/>
          <w:szCs w:val="21"/>
        </w:rPr>
      </w:pPr>
    </w:p>
    <w:p w14:paraId="00000011" w14:textId="3C30017D" w:rsidR="006D6B1E" w:rsidRDefault="0047715A">
      <w:pPr>
        <w:pBdr>
          <w:top w:val="nil"/>
          <w:left w:val="nil"/>
          <w:bottom w:val="nil"/>
          <w:right w:val="nil"/>
          <w:between w:val="nil"/>
        </w:pBdr>
        <w:shd w:val="clear" w:color="auto" w:fill="FFFFFF"/>
        <w:rPr>
          <w:rFonts w:ascii="Candara" w:eastAsia="Candara" w:hAnsi="Candara" w:cs="Candara"/>
          <w:b/>
          <w:color w:val="000000"/>
          <w:sz w:val="21"/>
          <w:szCs w:val="21"/>
        </w:rPr>
      </w:pPr>
      <w:r>
        <w:rPr>
          <w:rFonts w:ascii="Candara" w:eastAsia="Candara" w:hAnsi="Candara" w:cs="Candara"/>
          <w:b/>
          <w:color w:val="000000"/>
          <w:sz w:val="21"/>
          <w:szCs w:val="21"/>
        </w:rPr>
        <w:lastRenderedPageBreak/>
        <w:t>Media enquiries:</w:t>
      </w:r>
    </w:p>
    <w:p w14:paraId="00000012" w14:textId="77777777" w:rsidR="006D6B1E" w:rsidRDefault="0047715A">
      <w:pPr>
        <w:pBdr>
          <w:top w:val="nil"/>
          <w:left w:val="nil"/>
          <w:bottom w:val="nil"/>
          <w:right w:val="nil"/>
          <w:between w:val="nil"/>
        </w:pBdr>
        <w:shd w:val="clear" w:color="auto" w:fill="FFFFFF"/>
        <w:rPr>
          <w:rFonts w:ascii="Candara" w:eastAsia="Candara" w:hAnsi="Candara" w:cs="Candara"/>
          <w:color w:val="000000"/>
          <w:sz w:val="21"/>
          <w:szCs w:val="21"/>
        </w:rPr>
      </w:pPr>
      <w:r>
        <w:rPr>
          <w:rFonts w:ascii="Candara" w:eastAsia="Candara" w:hAnsi="Candara" w:cs="Candara"/>
          <w:color w:val="000000"/>
          <w:sz w:val="21"/>
          <w:szCs w:val="21"/>
        </w:rPr>
        <w:t>Rod Kamleshwaran</w:t>
      </w:r>
    </w:p>
    <w:p w14:paraId="00000013" w14:textId="77777777" w:rsidR="006D6B1E" w:rsidRDefault="002B4587">
      <w:pPr>
        <w:pBdr>
          <w:top w:val="nil"/>
          <w:left w:val="nil"/>
          <w:bottom w:val="nil"/>
          <w:right w:val="nil"/>
          <w:between w:val="nil"/>
        </w:pBdr>
        <w:shd w:val="clear" w:color="auto" w:fill="FFFFFF"/>
        <w:rPr>
          <w:rFonts w:ascii="Candara" w:eastAsia="Candara" w:hAnsi="Candara" w:cs="Candara"/>
          <w:sz w:val="21"/>
          <w:szCs w:val="21"/>
          <w:u w:val="single"/>
        </w:rPr>
      </w:pPr>
      <w:hyperlink r:id="rId8">
        <w:r w:rsidR="0047715A">
          <w:rPr>
            <w:rFonts w:ascii="Candara" w:eastAsia="Candara" w:hAnsi="Candara" w:cs="Candara"/>
            <w:color w:val="000000"/>
            <w:sz w:val="21"/>
            <w:szCs w:val="21"/>
            <w:u w:val="single"/>
          </w:rPr>
          <w:t>rod@gainingedge.com</w:t>
        </w:r>
      </w:hyperlink>
    </w:p>
    <w:p w14:paraId="00000014" w14:textId="16E2DF4B" w:rsidR="006D6B1E" w:rsidRDefault="0047715A">
      <w:pPr>
        <w:pBdr>
          <w:top w:val="nil"/>
          <w:left w:val="nil"/>
          <w:bottom w:val="nil"/>
          <w:right w:val="nil"/>
          <w:between w:val="nil"/>
        </w:pBdr>
        <w:shd w:val="clear" w:color="auto" w:fill="FFFFFF"/>
        <w:rPr>
          <w:rFonts w:ascii="Candara" w:eastAsia="Candara" w:hAnsi="Candara" w:cs="Candara"/>
          <w:sz w:val="21"/>
          <w:szCs w:val="21"/>
        </w:rPr>
      </w:pPr>
      <w:r>
        <w:rPr>
          <w:rFonts w:ascii="Candara" w:eastAsia="Candara" w:hAnsi="Candara" w:cs="Candara"/>
          <w:sz w:val="21"/>
          <w:szCs w:val="21"/>
          <w:u w:val="single"/>
        </w:rPr>
        <w:t>M: 61(0)408809453</w:t>
      </w:r>
    </w:p>
    <w:p w14:paraId="00000015" w14:textId="77777777" w:rsidR="006D6B1E" w:rsidRDefault="006D6B1E">
      <w:pPr>
        <w:pBdr>
          <w:top w:val="nil"/>
          <w:left w:val="nil"/>
          <w:bottom w:val="nil"/>
          <w:right w:val="nil"/>
          <w:between w:val="nil"/>
        </w:pBdr>
        <w:shd w:val="clear" w:color="auto" w:fill="FFFFFF"/>
        <w:rPr>
          <w:rFonts w:ascii="Candara" w:eastAsia="Candara" w:hAnsi="Candara" w:cs="Candara"/>
          <w:b/>
          <w:sz w:val="23"/>
          <w:szCs w:val="23"/>
        </w:rPr>
      </w:pPr>
    </w:p>
    <w:p w14:paraId="00000016" w14:textId="7F7A6E35" w:rsidR="006D6B1E" w:rsidRDefault="0047715A">
      <w:pPr>
        <w:pBdr>
          <w:top w:val="nil"/>
          <w:left w:val="nil"/>
          <w:bottom w:val="nil"/>
          <w:right w:val="nil"/>
          <w:between w:val="nil"/>
        </w:pBdr>
        <w:shd w:val="clear" w:color="auto" w:fill="FFFFFF"/>
        <w:rPr>
          <w:rFonts w:ascii="Candara" w:eastAsia="Candara" w:hAnsi="Candara" w:cs="Candara"/>
          <w:b/>
          <w:sz w:val="25"/>
          <w:szCs w:val="25"/>
          <w:u w:val="single"/>
        </w:rPr>
      </w:pPr>
      <w:r>
        <w:rPr>
          <w:rFonts w:ascii="Candara" w:eastAsia="Candara" w:hAnsi="Candara" w:cs="Candara"/>
          <w:b/>
          <w:sz w:val="23"/>
          <w:szCs w:val="23"/>
        </w:rPr>
        <w:t>OR meet us at IMEX stand A210 (31 May - 2 June 2022)</w:t>
      </w:r>
    </w:p>
    <w:p w14:paraId="00000017" w14:textId="77777777" w:rsidR="006D6B1E" w:rsidRDefault="006D6B1E">
      <w:pPr>
        <w:pBdr>
          <w:top w:val="nil"/>
          <w:left w:val="nil"/>
          <w:bottom w:val="nil"/>
          <w:right w:val="nil"/>
          <w:between w:val="nil"/>
        </w:pBdr>
        <w:shd w:val="clear" w:color="auto" w:fill="FFFFFF"/>
        <w:rPr>
          <w:rFonts w:ascii="Candara" w:eastAsia="Candara" w:hAnsi="Candara" w:cs="Candara"/>
          <w:color w:val="000000"/>
          <w:sz w:val="21"/>
          <w:szCs w:val="21"/>
        </w:rPr>
      </w:pPr>
    </w:p>
    <w:p w14:paraId="00000018" w14:textId="77777777" w:rsidR="006D6B1E" w:rsidRDefault="006D6B1E">
      <w:pPr>
        <w:rPr>
          <w:rFonts w:ascii="Candara" w:eastAsia="Candara" w:hAnsi="Candara" w:cs="Candara"/>
          <w:b/>
          <w:color w:val="000000"/>
          <w:sz w:val="21"/>
          <w:szCs w:val="21"/>
        </w:rPr>
      </w:pPr>
    </w:p>
    <w:p w14:paraId="00000019" w14:textId="77777777" w:rsidR="006D6B1E" w:rsidRDefault="0047715A">
      <w:pPr>
        <w:rPr>
          <w:rFonts w:ascii="Candara" w:eastAsia="Candara" w:hAnsi="Candara" w:cs="Candara"/>
          <w:b/>
          <w:color w:val="000000"/>
          <w:sz w:val="21"/>
          <w:szCs w:val="21"/>
        </w:rPr>
      </w:pPr>
      <w:r>
        <w:rPr>
          <w:rFonts w:ascii="Candara" w:eastAsia="Candara" w:hAnsi="Candara" w:cs="Candara"/>
          <w:b/>
          <w:color w:val="000000"/>
          <w:sz w:val="21"/>
          <w:szCs w:val="21"/>
        </w:rPr>
        <w:t>Company Profile</w:t>
      </w:r>
    </w:p>
    <w:p w14:paraId="0000001A" w14:textId="77777777" w:rsidR="006D6B1E" w:rsidRDefault="0047715A">
      <w:pPr>
        <w:rPr>
          <w:rFonts w:ascii="Candara" w:eastAsia="Candara" w:hAnsi="Candara" w:cs="Candara"/>
          <w:color w:val="000000"/>
          <w:sz w:val="21"/>
          <w:szCs w:val="21"/>
        </w:rPr>
      </w:pPr>
      <w:r>
        <w:rPr>
          <w:rFonts w:ascii="Candara" w:eastAsia="Candara" w:hAnsi="Candara" w:cs="Candara"/>
          <w:color w:val="000000"/>
          <w:sz w:val="21"/>
          <w:szCs w:val="21"/>
        </w:rPr>
        <w:t>Beijing North Star Convention and Exhibition Investment Co., Ltd is a wholly-owned subsidiary of Beijing North Star Group Co., Ltd, and was officially established on November 6, 2018. It is responsible for the investment, construction and operation preparation of the China National Convention Center - CNCC Phase II. CNCC-II is one of the key projects in Beijing’s strategic development plan. </w:t>
      </w:r>
    </w:p>
    <w:p w14:paraId="0000001B" w14:textId="77777777" w:rsidR="006D6B1E" w:rsidRDefault="006D6B1E">
      <w:pPr>
        <w:rPr>
          <w:rFonts w:ascii="Candara" w:eastAsia="Candara" w:hAnsi="Candara" w:cs="Candara"/>
          <w:b/>
          <w:color w:val="000000"/>
          <w:sz w:val="21"/>
          <w:szCs w:val="21"/>
        </w:rPr>
      </w:pPr>
    </w:p>
    <w:p w14:paraId="0000001C" w14:textId="77777777" w:rsidR="006D6B1E" w:rsidRDefault="0047715A">
      <w:pPr>
        <w:rPr>
          <w:rFonts w:ascii="Candara" w:eastAsia="Candara" w:hAnsi="Candara" w:cs="Candara"/>
          <w:b/>
          <w:color w:val="000000"/>
          <w:sz w:val="21"/>
          <w:szCs w:val="21"/>
        </w:rPr>
      </w:pPr>
      <w:r>
        <w:rPr>
          <w:rFonts w:ascii="Candara" w:eastAsia="Candara" w:hAnsi="Candara" w:cs="Candara"/>
          <w:b/>
          <w:color w:val="000000"/>
          <w:sz w:val="21"/>
          <w:szCs w:val="21"/>
        </w:rPr>
        <w:t>FAST FACTS CNCC-II Complex</w:t>
      </w:r>
    </w:p>
    <w:p w14:paraId="0000001D" w14:textId="77777777" w:rsidR="006D6B1E" w:rsidRDefault="006D6B1E">
      <w:pPr>
        <w:rPr>
          <w:rFonts w:ascii="Candara" w:eastAsia="Candara" w:hAnsi="Candara" w:cs="Candara"/>
          <w:b/>
          <w:color w:val="000000"/>
          <w:sz w:val="21"/>
          <w:szCs w:val="21"/>
        </w:rPr>
      </w:pPr>
    </w:p>
    <w:p w14:paraId="0000001E"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 xml:space="preserve">Designed by Pritzker Prize winning architect Christian de </w:t>
      </w:r>
      <w:proofErr w:type="spellStart"/>
      <w:r>
        <w:rPr>
          <w:rFonts w:ascii="Candara" w:eastAsia="Candara" w:hAnsi="Candara" w:cs="Candara"/>
          <w:color w:val="000000"/>
        </w:rPr>
        <w:t>Portzamparc</w:t>
      </w:r>
      <w:proofErr w:type="spellEnd"/>
    </w:p>
    <w:p w14:paraId="0000001F"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780,000 sqm complex includes convention center, two hotels, commercial offices and retail</w:t>
      </w:r>
    </w:p>
    <w:p w14:paraId="00000020"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 xml:space="preserve">Convention center: 420,000 sqm of floor space and 270,000 sqm of </w:t>
      </w:r>
      <w:proofErr w:type="gramStart"/>
      <w:r>
        <w:rPr>
          <w:rFonts w:ascii="Candara" w:eastAsia="Candara" w:hAnsi="Candara" w:cs="Candara"/>
          <w:color w:val="000000"/>
        </w:rPr>
        <w:t>purpose built</w:t>
      </w:r>
      <w:proofErr w:type="gramEnd"/>
      <w:r>
        <w:rPr>
          <w:rFonts w:ascii="Candara" w:eastAsia="Candara" w:hAnsi="Candara" w:cs="Candara"/>
          <w:color w:val="000000"/>
        </w:rPr>
        <w:t xml:space="preserve"> meeting and event space  </w:t>
      </w:r>
    </w:p>
    <w:p w14:paraId="00000021"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30,000 sqm exhibition halls with 8,000 sqm of pre function space</w:t>
      </w:r>
    </w:p>
    <w:p w14:paraId="00000022"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 xml:space="preserve">7,300 sqm pillar free Plenary Hall with 7,000 sqm pre-function space including 2,300sqm ground lobby with </w:t>
      </w:r>
      <w:proofErr w:type="gramStart"/>
      <w:r>
        <w:rPr>
          <w:rFonts w:ascii="Candara" w:eastAsia="Candara" w:hAnsi="Candara" w:cs="Candara"/>
          <w:color w:val="000000"/>
        </w:rPr>
        <w:t>26 meter</w:t>
      </w:r>
      <w:proofErr w:type="gramEnd"/>
      <w:r>
        <w:rPr>
          <w:rFonts w:ascii="Candara" w:eastAsia="Candara" w:hAnsi="Candara" w:cs="Candara"/>
          <w:color w:val="000000"/>
        </w:rPr>
        <w:t xml:space="preserve"> ceiling height</w:t>
      </w:r>
    </w:p>
    <w:p w14:paraId="00000023"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5,000 sqm Grand Ballroom, 3,000 sqm Summit Hall and 2,600 sqm Round Ballroom supported by 14,000 sqm of pre-function space</w:t>
      </w:r>
    </w:p>
    <w:p w14:paraId="00000024"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Almost 10,000 sqm of sky gardens with retractable roof</w:t>
      </w:r>
    </w:p>
    <w:p w14:paraId="00000025"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100 meeting rooms including 30 VIP rooms</w:t>
      </w:r>
    </w:p>
    <w:p w14:paraId="00000026"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953 on-site hotel rooms across two 5-star international hotels</w:t>
      </w:r>
    </w:p>
    <w:p w14:paraId="00000027"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1,710 hotel rooms within walking distance</w:t>
      </w:r>
    </w:p>
    <w:p w14:paraId="00000028" w14:textId="77777777" w:rsidR="006D6B1E" w:rsidRDefault="0047715A">
      <w:pPr>
        <w:numPr>
          <w:ilvl w:val="0"/>
          <w:numId w:val="1"/>
        </w:numPr>
        <w:pBdr>
          <w:top w:val="nil"/>
          <w:left w:val="nil"/>
          <w:bottom w:val="nil"/>
          <w:right w:val="nil"/>
          <w:between w:val="nil"/>
        </w:pBdr>
        <w:spacing w:line="259" w:lineRule="auto"/>
        <w:rPr>
          <w:rFonts w:ascii="Candara" w:eastAsia="Candara" w:hAnsi="Candara" w:cs="Candara"/>
          <w:color w:val="000000"/>
        </w:rPr>
      </w:pPr>
      <w:r>
        <w:rPr>
          <w:rFonts w:ascii="Candara" w:eastAsia="Candara" w:hAnsi="Candara" w:cs="Candara"/>
          <w:color w:val="000000"/>
        </w:rPr>
        <w:t>10,000 hotel rooms within 5 km</w:t>
      </w:r>
    </w:p>
    <w:p w14:paraId="00000029" w14:textId="77777777" w:rsidR="006D6B1E" w:rsidRDefault="006D6B1E">
      <w:pPr>
        <w:rPr>
          <w:rFonts w:ascii="Candara" w:eastAsia="Candara" w:hAnsi="Candara" w:cs="Candara"/>
          <w:color w:val="000000"/>
          <w:sz w:val="21"/>
          <w:szCs w:val="21"/>
        </w:rPr>
      </w:pPr>
    </w:p>
    <w:p w14:paraId="0000002A" w14:textId="77777777" w:rsidR="006D6B1E" w:rsidRDefault="006D6B1E">
      <w:pPr>
        <w:rPr>
          <w:rFonts w:ascii="Candara" w:eastAsia="Candara" w:hAnsi="Candara" w:cs="Candara"/>
          <w:color w:val="000000"/>
          <w:sz w:val="21"/>
          <w:szCs w:val="21"/>
        </w:rPr>
      </w:pPr>
    </w:p>
    <w:sectPr w:rsidR="006D6B1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41F0" w14:textId="77777777" w:rsidR="003C36CC" w:rsidRDefault="0047715A">
      <w:r>
        <w:separator/>
      </w:r>
    </w:p>
  </w:endnote>
  <w:endnote w:type="continuationSeparator" w:id="0">
    <w:p w14:paraId="4AB41266" w14:textId="77777777" w:rsidR="003C36CC" w:rsidRDefault="0047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5761BA0C" w:rsidR="006D6B1E" w:rsidRDefault="0047715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D" w14:textId="77777777" w:rsidR="006D6B1E" w:rsidRDefault="006D6B1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25DE" w14:textId="77777777" w:rsidR="003C36CC" w:rsidRDefault="0047715A">
      <w:r>
        <w:separator/>
      </w:r>
    </w:p>
  </w:footnote>
  <w:footnote w:type="continuationSeparator" w:id="0">
    <w:p w14:paraId="606B4CBF" w14:textId="77777777" w:rsidR="003C36CC" w:rsidRDefault="0047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6B1E" w:rsidRDefault="0047715A">
    <w:pPr>
      <w:pBdr>
        <w:top w:val="nil"/>
        <w:left w:val="nil"/>
        <w:bottom w:val="nil"/>
        <w:right w:val="nil"/>
        <w:between w:val="nil"/>
      </w:pBdr>
      <w:tabs>
        <w:tab w:val="center" w:pos="4513"/>
        <w:tab w:val="right" w:pos="9026"/>
      </w:tabs>
      <w:jc w:val="center"/>
      <w:rPr>
        <w:color w:val="000000"/>
        <w:sz w:val="72"/>
        <w:szCs w:val="72"/>
      </w:rPr>
    </w:pPr>
    <w:r>
      <w:rPr>
        <w:color w:val="000000"/>
        <w:sz w:val="72"/>
        <w:szCs w:val="72"/>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710D"/>
    <w:multiLevelType w:val="multilevel"/>
    <w:tmpl w:val="A4140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01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1E"/>
    <w:rsid w:val="000F6308"/>
    <w:rsid w:val="002B4587"/>
    <w:rsid w:val="003C36CC"/>
    <w:rsid w:val="0047715A"/>
    <w:rsid w:val="006D6B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01DD"/>
  <w15:docId w15:val="{0E440F0F-C171-4F3F-AA89-F3C2A7F0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41983"/>
    <w:pPr>
      <w:spacing w:before="100" w:beforeAutospacing="1" w:after="100" w:afterAutospacing="1"/>
    </w:pPr>
    <w:rPr>
      <w:rFonts w:ascii="Times New Roman" w:eastAsia="Times New Roman" w:hAnsi="Times New Roman" w:cs="Times New Roman"/>
      <w:lang w:val="en-AU" w:eastAsia="en-GB"/>
    </w:rPr>
  </w:style>
  <w:style w:type="paragraph" w:styleId="ListParagraph">
    <w:name w:val="List Paragraph"/>
    <w:basedOn w:val="Normal"/>
    <w:uiPriority w:val="34"/>
    <w:qFormat/>
    <w:rsid w:val="00841983"/>
    <w:pPr>
      <w:ind w:left="720"/>
      <w:contextualSpacing/>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574696"/>
    <w:rPr>
      <w:color w:val="0000FF"/>
      <w:u w:val="single"/>
    </w:rPr>
  </w:style>
  <w:style w:type="character" w:styleId="UnresolvedMention">
    <w:name w:val="Unresolved Mention"/>
    <w:basedOn w:val="DefaultParagraphFont"/>
    <w:uiPriority w:val="99"/>
    <w:semiHidden/>
    <w:unhideWhenUsed/>
    <w:rsid w:val="000D4B71"/>
    <w:rPr>
      <w:color w:val="605E5C"/>
      <w:shd w:val="clear" w:color="auto" w:fill="E1DFDD"/>
    </w:rPr>
  </w:style>
  <w:style w:type="character" w:styleId="FollowedHyperlink">
    <w:name w:val="FollowedHyperlink"/>
    <w:basedOn w:val="DefaultParagraphFont"/>
    <w:uiPriority w:val="99"/>
    <w:semiHidden/>
    <w:unhideWhenUsed/>
    <w:rsid w:val="000D4B71"/>
    <w:rPr>
      <w:color w:val="954F72" w:themeColor="followedHyperlink"/>
      <w:u w:val="single"/>
    </w:rPr>
  </w:style>
  <w:style w:type="character" w:styleId="Emphasis">
    <w:name w:val="Emphasis"/>
    <w:basedOn w:val="DefaultParagraphFont"/>
    <w:uiPriority w:val="20"/>
    <w:qFormat/>
    <w:rsid w:val="0045691A"/>
    <w:rPr>
      <w:i/>
      <w:iCs/>
    </w:rPr>
  </w:style>
  <w:style w:type="paragraph" w:styleId="Revision">
    <w:name w:val="Revision"/>
    <w:hidden/>
    <w:uiPriority w:val="99"/>
    <w:semiHidden/>
    <w:rsid w:val="00AD00ED"/>
  </w:style>
  <w:style w:type="paragraph" w:styleId="Header">
    <w:name w:val="header"/>
    <w:basedOn w:val="Normal"/>
    <w:link w:val="HeaderChar"/>
    <w:uiPriority w:val="99"/>
    <w:unhideWhenUsed/>
    <w:rsid w:val="00170960"/>
    <w:pPr>
      <w:tabs>
        <w:tab w:val="center" w:pos="4513"/>
        <w:tab w:val="right" w:pos="9026"/>
      </w:tabs>
    </w:pPr>
  </w:style>
  <w:style w:type="character" w:customStyle="1" w:styleId="HeaderChar">
    <w:name w:val="Header Char"/>
    <w:basedOn w:val="DefaultParagraphFont"/>
    <w:link w:val="Header"/>
    <w:uiPriority w:val="99"/>
    <w:rsid w:val="00170960"/>
    <w:rPr>
      <w:rFonts w:ascii="SimSun" w:eastAsia="SimSun" w:hAnsi="SimSun" w:cs="SimSun"/>
      <w:sz w:val="24"/>
      <w:szCs w:val="24"/>
    </w:rPr>
  </w:style>
  <w:style w:type="paragraph" w:styleId="Footer">
    <w:name w:val="footer"/>
    <w:basedOn w:val="Normal"/>
    <w:link w:val="FooterChar"/>
    <w:uiPriority w:val="99"/>
    <w:unhideWhenUsed/>
    <w:rsid w:val="00170960"/>
    <w:pPr>
      <w:tabs>
        <w:tab w:val="center" w:pos="4513"/>
        <w:tab w:val="right" w:pos="9026"/>
      </w:tabs>
    </w:pPr>
  </w:style>
  <w:style w:type="character" w:customStyle="1" w:styleId="FooterChar">
    <w:name w:val="Footer Char"/>
    <w:basedOn w:val="DefaultParagraphFont"/>
    <w:link w:val="Footer"/>
    <w:uiPriority w:val="99"/>
    <w:rsid w:val="00170960"/>
    <w:rPr>
      <w:rFonts w:ascii="SimSun" w:eastAsia="SimSun" w:hAnsi="SimSun" w:cs="SimSu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d@gaininged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i2B7VA2BsSJM9+9EXdgPdAmcA==">AMUW2mVFvnJs8GkbdBLTo0rn7FmnMsUgAfGaGb/4I2AS9fmZjo4e9xHHLOYAA3vYZSsjfwIryAM030ngcHD1IZJ1ywCbCm6ffIJAIBk1dxh2vL8bgb6xvIY=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Vong</dc:creator>
  <cp:lastModifiedBy>Caryn Wong</cp:lastModifiedBy>
  <cp:revision>3</cp:revision>
  <dcterms:created xsi:type="dcterms:W3CDTF">2022-05-27T14:37:00Z</dcterms:created>
  <dcterms:modified xsi:type="dcterms:W3CDTF">2022-05-27T15:13:00Z</dcterms:modified>
</cp:coreProperties>
</file>